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3871AB40"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w:t>
      </w:r>
      <w:proofErr w:type="spellStart"/>
      <w:r w:rsidRPr="00791E1D">
        <w:rPr>
          <w:rFonts w:eastAsia="Segoe UI Symbol"/>
          <w:bCs/>
          <w:sz w:val="20"/>
          <w:szCs w:val="20"/>
        </w:rPr>
        <w:t>Fusacq</w:t>
      </w:r>
      <w:proofErr w:type="spellEnd"/>
      <w:r w:rsidRPr="00791E1D">
        <w:rPr>
          <w:rFonts w:eastAsia="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proofErr w:type="spellStart"/>
      <w:r w:rsidR="00791E1D" w:rsidRPr="00791E1D">
        <w:rPr>
          <w:rFonts w:ascii="Segoe UI Symbol" w:eastAsia="Segoe UI Symbol" w:hAnsi="Segoe UI Symbol" w:cs="Segoe UI Symbol"/>
          <w:bCs/>
          <w:sz w:val="20"/>
          <w:szCs w:val="20"/>
        </w:rPr>
        <w:t>Entreprisesenligne</w:t>
      </w:r>
      <w:proofErr w:type="spellEnd"/>
      <w:r w:rsidR="00791E1D" w:rsidRPr="00791E1D">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5A3C4048"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A585B">
        <w:rPr>
          <w:b/>
          <w:color w:val="ED7D31" w:themeColor="accent2"/>
          <w:sz w:val="20"/>
          <w:szCs w:val="20"/>
        </w:rPr>
        <w:t>MK</w:t>
      </w:r>
      <w:r w:rsidR="008A1B07">
        <w:rPr>
          <w:b/>
          <w:color w:val="ED7D31" w:themeColor="accent2"/>
          <w:sz w:val="20"/>
          <w:szCs w:val="20"/>
        </w:rPr>
        <w:t>26042022</w:t>
      </w:r>
      <w:r w:rsidR="00EB2B28" w:rsidRPr="00C63B8F">
        <w:rPr>
          <w:b/>
          <w:color w:val="ED7D31" w:themeColor="accent2"/>
        </w:rPr>
        <w:t xml:space="preserve"> </w:t>
      </w:r>
      <w:r w:rsidR="00EB2B28">
        <w:rPr>
          <w:b/>
        </w:rPr>
        <w:t xml:space="preserve">                            </w:t>
      </w:r>
      <w:r w:rsidR="003D2A6F">
        <w:rPr>
          <w:b/>
        </w:rPr>
        <w:t xml:space="preserve">        </w:t>
      </w:r>
      <w:r w:rsidR="009508FF">
        <w:rPr>
          <w:b/>
        </w:rPr>
        <w:t>Acti</w:t>
      </w:r>
      <w:r w:rsidR="003E012B">
        <w:rPr>
          <w:b/>
        </w:rPr>
        <w:t>vité :</w:t>
      </w:r>
      <w:r w:rsidR="00A17826">
        <w:rPr>
          <w:b/>
        </w:rPr>
        <w:t xml:space="preserve"> </w:t>
      </w:r>
      <w:r w:rsidR="008A1B07">
        <w:rPr>
          <w:b/>
          <w:color w:val="ED7D31" w:themeColor="accent2"/>
          <w:sz w:val="20"/>
          <w:szCs w:val="20"/>
        </w:rPr>
        <w:t>BTP CONSTRUCTION</w:t>
      </w:r>
      <w:r w:rsidR="000A585B">
        <w:rPr>
          <w:b/>
          <w:color w:val="ED7D31" w:themeColor="accent2"/>
          <w:sz w:val="20"/>
          <w:szCs w:val="20"/>
        </w:rPr>
        <w:t xml:space="preserve"> </w:t>
      </w:r>
      <w:r w:rsidR="00F010E4" w:rsidRPr="00ED1592">
        <w:rPr>
          <w:b/>
          <w:color w:val="ED7D31" w:themeColor="accent2"/>
          <w:sz w:val="20"/>
          <w:szCs w:val="20"/>
        </w:rPr>
        <w:t>(</w:t>
      </w:r>
      <w:r w:rsidR="008A1B07">
        <w:rPr>
          <w:b/>
          <w:color w:val="ED7D31" w:themeColor="accent2"/>
          <w:sz w:val="20"/>
          <w:szCs w:val="20"/>
        </w:rPr>
        <w:t>52</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55E0F6A4" w:rsidR="00C50BDD" w:rsidRDefault="00C50BDD">
      <w:pPr>
        <w:ind w:left="-5"/>
      </w:pPr>
      <w:r>
        <w:t>S</w:t>
      </w:r>
      <w:r w:rsidR="00ED7426">
        <w:t xml:space="preserve">’il s’avérait que des informations mentionnées dans cette lettre étaient mensongères, le cabinet A.F.T.  </w:t>
      </w:r>
      <w:proofErr w:type="gramStart"/>
      <w:r w:rsidR="00ED7426">
        <w:t>se</w:t>
      </w:r>
      <w:proofErr w:type="gramEnd"/>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F13E" w14:textId="77777777" w:rsidR="0019582B" w:rsidRDefault="0019582B" w:rsidP="00DF5596">
      <w:pPr>
        <w:spacing w:after="0" w:line="240" w:lineRule="auto"/>
      </w:pPr>
      <w:r>
        <w:separator/>
      </w:r>
    </w:p>
  </w:endnote>
  <w:endnote w:type="continuationSeparator" w:id="0">
    <w:p w14:paraId="5AD73F32" w14:textId="77777777" w:rsidR="0019582B" w:rsidRDefault="0019582B"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77777777" w:rsidR="00C63B8F" w:rsidRDefault="00C63B8F" w:rsidP="008A464F">
    <w:pPr>
      <w:pStyle w:val="Pieddepage"/>
      <w:ind w:left="0" w:firstLine="360"/>
    </w:pPr>
    <w:r>
      <w:t>ACQUISITION – FUSION – TRANSMISSION - SAS au capital de 1000€ - 4 RUE DU MARECHAL LECLERC - 54390 FROUARD</w:t>
    </w:r>
  </w:p>
  <w:p w14:paraId="064D4395" w14:textId="40CAB53F" w:rsidR="00C63B8F" w:rsidRDefault="00C63B8F" w:rsidP="00C63B8F">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411C7B">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0C7F" w14:textId="77777777" w:rsidR="0019582B" w:rsidRDefault="0019582B" w:rsidP="00DF5596">
      <w:pPr>
        <w:spacing w:after="0" w:line="240" w:lineRule="auto"/>
      </w:pPr>
      <w:r>
        <w:separator/>
      </w:r>
    </w:p>
  </w:footnote>
  <w:footnote w:type="continuationSeparator" w:id="0">
    <w:p w14:paraId="1270660F" w14:textId="77777777" w:rsidR="0019582B" w:rsidRDefault="0019582B"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931E7"/>
    <w:rsid w:val="0019582B"/>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1B07"/>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1C0"/>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7518"/>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2632"/>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881</Words>
  <Characters>4849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296</cp:revision>
  <cp:lastPrinted>2021-02-07T10:40:00Z</cp:lastPrinted>
  <dcterms:created xsi:type="dcterms:W3CDTF">2020-03-02T14:44:00Z</dcterms:created>
  <dcterms:modified xsi:type="dcterms:W3CDTF">2025-02-03T10:53:00Z</dcterms:modified>
</cp:coreProperties>
</file>